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31" w:rsidRDefault="00DA4FB0">
      <w:pPr>
        <w:pStyle w:val="Defaul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"Staying Legal" </w:t>
      </w:r>
      <w:r>
        <w:rPr>
          <w:sz w:val="24"/>
          <w:szCs w:val="24"/>
        </w:rPr>
        <w:t> </w:t>
      </w:r>
    </w:p>
    <w:p w:rsidR="00475031" w:rsidRDefault="00DA4FB0">
      <w:pPr>
        <w:pStyle w:val="Defaul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East Ohio District</w:t>
      </w:r>
      <w:r>
        <w:rPr>
          <w:sz w:val="24"/>
          <w:szCs w:val="24"/>
        </w:rPr>
        <w:t> </w:t>
      </w:r>
    </w:p>
    <w:p w:rsidR="00475031" w:rsidRDefault="00DA4FB0">
      <w:pPr>
        <w:pStyle w:val="Default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January 21, 2016</w:t>
      </w:r>
      <w:r>
        <w:rPr>
          <w:sz w:val="24"/>
          <w:szCs w:val="24"/>
        </w:rPr>
        <w:t> </w:t>
      </w:r>
    </w:p>
    <w:p w:rsidR="00475031" w:rsidRDefault="00DA4FB0">
      <w:pPr>
        <w:pStyle w:val="Default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Michael Thompson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General Counsel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Global Ministry Center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  <w:lang w:val="nl-NL"/>
        </w:rPr>
        <w:t>17001 Prairie Star Parkway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Lenexa, KS 66220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r>
        <w:rPr>
          <w:sz w:val="24"/>
          <w:szCs w:val="24"/>
        </w:rPr>
        <w:t>(913) 577-0612</w:t>
      </w:r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rPr>
          <w:i w:val="0"/>
          <w:iCs w:val="0"/>
          <w:sz w:val="24"/>
          <w:szCs w:val="24"/>
        </w:rPr>
      </w:pPr>
      <w:hyperlink r:id="rId7" w:history="1">
        <w:r>
          <w:rPr>
            <w:sz w:val="24"/>
            <w:szCs w:val="24"/>
          </w:rPr>
          <w:t>mthompson@nazarene.org</w:t>
        </w:r>
      </w:hyperlink>
      <w:r>
        <w:rPr>
          <w:i w:val="0"/>
          <w:iCs w:val="0"/>
          <w:sz w:val="24"/>
          <w:szCs w:val="24"/>
        </w:rPr>
        <w:t> </w:t>
      </w:r>
    </w:p>
    <w:p w:rsidR="00475031" w:rsidRDefault="00DA4FB0">
      <w:pPr>
        <w:pStyle w:val="Default"/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475031" w:rsidRDefault="00DA4FB0">
      <w:pPr>
        <w:pStyle w:val="Default"/>
        <w:rPr>
          <w:sz w:val="24"/>
          <w:szCs w:val="24"/>
        </w:rPr>
      </w:pPr>
      <w:r>
        <w:rPr>
          <w:b/>
          <w:bCs/>
          <w:sz w:val="24"/>
          <w:szCs w:val="24"/>
        </w:rPr>
        <w:t>Trending Issues:</w:t>
      </w:r>
      <w:r>
        <w:rPr>
          <w:sz w:val="24"/>
          <w:szCs w:val="24"/>
        </w:rPr>
        <w:t> </w:t>
      </w:r>
    </w:p>
    <w:p w:rsidR="00475031" w:rsidRDefault="00475031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Child Protection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rStyle w:val="None"/>
          <w:sz w:val="24"/>
          <w:szCs w:val="24"/>
          <w:u w:color="0432FF"/>
        </w:rPr>
      </w:pPr>
      <w:r>
        <w:rPr>
          <w:sz w:val="24"/>
          <w:szCs w:val="24"/>
          <w:u w:color="0432FF"/>
        </w:rPr>
        <w:tab/>
      </w:r>
      <w:r>
        <w:rPr>
          <w:rFonts w:ascii="Arial Unicode MS" w:hAnsi="Arial Unicode MS"/>
          <w:i w:val="0"/>
          <w:iCs w:val="0"/>
          <w:sz w:val="24"/>
          <w:szCs w:val="24"/>
          <w:u w:color="0432FF"/>
        </w:rPr>
        <w:t>◦</w:t>
      </w:r>
      <w:r>
        <w:rPr>
          <w:sz w:val="24"/>
          <w:szCs w:val="24"/>
          <w:u w:color="0432FF"/>
        </w:rPr>
        <w:tab/>
      </w:r>
      <w:proofErr w:type="spellStart"/>
      <w:r>
        <w:rPr>
          <w:sz w:val="24"/>
          <w:szCs w:val="24"/>
          <w:u w:color="0432FF"/>
          <w:lang w:val="fr-FR"/>
        </w:rPr>
        <w:t>Resources</w:t>
      </w:r>
      <w:proofErr w:type="spellEnd"/>
      <w:r>
        <w:rPr>
          <w:sz w:val="24"/>
          <w:szCs w:val="24"/>
          <w:u w:color="0432FF"/>
          <w:lang w:val="fr-FR"/>
        </w:rPr>
        <w:t xml:space="preserve">: </w:t>
      </w:r>
      <w:hyperlink r:id="rId8" w:history="1">
        <w:r>
          <w:rPr>
            <w:rStyle w:val="Hyperlink1"/>
            <w:sz w:val="24"/>
            <w:szCs w:val="24"/>
          </w:rPr>
          <w:t>www.nazarenesafe.org</w:t>
        </w:r>
      </w:hyperlink>
      <w:r>
        <w:rPr>
          <w:rStyle w:val="None"/>
          <w:sz w:val="24"/>
          <w:szCs w:val="24"/>
          <w:u w:color="0432FF"/>
        </w:rPr>
        <w:t xml:space="preserve"> (</w:t>
      </w:r>
      <w:hyperlink r:id="rId9" w:history="1">
        <w:r>
          <w:rPr>
            <w:rStyle w:val="Hyperlink2"/>
            <w:sz w:val="24"/>
            <w:szCs w:val="24"/>
          </w:rPr>
          <w:t>www.ministrysafe.com</w:t>
        </w:r>
      </w:hyperlink>
      <w:r>
        <w:rPr>
          <w:rStyle w:val="None"/>
          <w:sz w:val="24"/>
          <w:szCs w:val="24"/>
          <w:u w:color="0432FF"/>
        </w:rPr>
        <w:t>)</w:t>
      </w:r>
      <w:r>
        <w:rPr>
          <w:rStyle w:val="None"/>
          <w:sz w:val="24"/>
          <w:szCs w:val="24"/>
          <w:u w:color="0432FF"/>
        </w:rPr>
        <w:tab/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None"/>
          <w:rFonts w:ascii="Arial Unicode MS" w:hAnsi="Arial Unicode MS"/>
          <w:i w:val="0"/>
          <w:iCs w:val="0"/>
          <w:sz w:val="24"/>
          <w:szCs w:val="24"/>
        </w:rPr>
        <w:t>◦</w:t>
      </w:r>
      <w:r>
        <w:rPr>
          <w:sz w:val="24"/>
          <w:szCs w:val="24"/>
        </w:rPr>
        <w:tab/>
        <w:t xml:space="preserve">Why background checks and a </w:t>
      </w:r>
      <w:r>
        <w:rPr>
          <w:sz w:val="24"/>
          <w:szCs w:val="24"/>
        </w:rPr>
        <w:t>“policy” are not enough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None"/>
          <w:rFonts w:ascii="Arial Unicode MS" w:hAnsi="Arial Unicode MS"/>
          <w:i w:val="0"/>
          <w:iCs w:val="0"/>
          <w:sz w:val="24"/>
          <w:szCs w:val="24"/>
        </w:rPr>
        <w:t>◦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Mandatory Reporting </w:t>
      </w:r>
      <w:r>
        <w:rPr>
          <w:sz w:val="24"/>
          <w:szCs w:val="24"/>
        </w:rPr>
        <w:t xml:space="preserve">– ALL NAZARENES ARE MANDATORY REPORTERS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 CHILD ABUSE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jc w:val="center"/>
        <w:rPr>
          <w:rStyle w:val="None"/>
          <w:b/>
          <w:bCs/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>Ohio Child Abuse Hotline: 855-O-H-CHILD (855-642-4453</w:t>
      </w:r>
      <w:r>
        <w:rPr>
          <w:rStyle w:val="None"/>
          <w:b/>
          <w:bCs/>
          <w:color w:val="0C276A"/>
          <w:sz w:val="24"/>
          <w:szCs w:val="24"/>
          <w:u w:color="0C276A"/>
        </w:rPr>
        <w:t>)</w:t>
      </w:r>
      <w:r>
        <w:rPr>
          <w:rStyle w:val="None"/>
          <w:b/>
          <w:bCs/>
          <w:sz w:val="24"/>
          <w:szCs w:val="24"/>
        </w:rPr>
        <w:t>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ab/>
      </w:r>
      <w:r>
        <w:rPr>
          <w:rStyle w:val="None"/>
          <w:rFonts w:ascii="Arial Unicode MS" w:hAnsi="Arial Unicode MS"/>
          <w:i w:val="0"/>
          <w:iCs w:val="0"/>
          <w:sz w:val="24"/>
          <w:szCs w:val="24"/>
        </w:rPr>
        <w:t>◦</w:t>
      </w:r>
      <w:r>
        <w:rPr>
          <w:rStyle w:val="None"/>
          <w:b/>
          <w:bCs/>
          <w:sz w:val="24"/>
          <w:szCs w:val="24"/>
        </w:rPr>
        <w:tab/>
        <w:t xml:space="preserve"> </w:t>
      </w:r>
      <w:r>
        <w:rPr>
          <w:sz w:val="24"/>
          <w:szCs w:val="24"/>
        </w:rPr>
        <w:t>Sexual Misconduct Insurance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•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Sex Offenders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Church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108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None"/>
          <w:rFonts w:ascii="Arial Unicode MS" w:hAnsi="Arial Unicode MS"/>
          <w:i w:val="0"/>
          <w:iCs w:val="0"/>
          <w:sz w:val="24"/>
          <w:szCs w:val="24"/>
        </w:rPr>
        <w:t>◦</w:t>
      </w:r>
      <w:r>
        <w:rPr>
          <w:sz w:val="24"/>
          <w:szCs w:val="24"/>
        </w:rPr>
        <w:tab/>
        <w:t>Attendance -- Model Covenant Agreement</w:t>
      </w:r>
      <w:r>
        <w:rPr>
          <w:sz w:val="24"/>
          <w:szCs w:val="24"/>
        </w:rPr>
        <w:t>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1080" w:hanging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None"/>
          <w:rFonts w:ascii="Arial Unicode MS" w:hAnsi="Arial Unicode MS"/>
          <w:i w:val="0"/>
          <w:iCs w:val="0"/>
          <w:sz w:val="24"/>
          <w:szCs w:val="24"/>
        </w:rPr>
        <w:t>◦</w:t>
      </w:r>
      <w:r>
        <w:rPr>
          <w:sz w:val="24"/>
          <w:szCs w:val="24"/>
        </w:rPr>
        <w:tab/>
        <w:t xml:space="preserve">Ministry and </w:t>
      </w:r>
      <w:r>
        <w:rPr>
          <w:sz w:val="24"/>
          <w:szCs w:val="24"/>
        </w:rPr>
        <w:t>Service Within the Church</w:t>
      </w:r>
      <w:r>
        <w:rPr>
          <w:sz w:val="24"/>
          <w:szCs w:val="24"/>
        </w:rPr>
        <w:t>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1440" w:hanging="720"/>
        <w:rPr>
          <w:rStyle w:val="None"/>
          <w:b/>
          <w:bCs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i w:val="0"/>
          <w:iCs w:val="0"/>
          <w:sz w:val="24"/>
          <w:szCs w:val="24"/>
        </w:rPr>
        <w:t xml:space="preserve">Ruling of the Board of General Superintendents in December 2013 that the following language be added to </w:t>
      </w:r>
      <w:r>
        <w:rPr>
          <w:rStyle w:val="None"/>
          <w:sz w:val="24"/>
          <w:szCs w:val="24"/>
        </w:rPr>
        <w:t>Manual</w:t>
      </w:r>
      <w:r>
        <w:rPr>
          <w:rStyle w:val="None"/>
          <w:i w:val="0"/>
          <w:iCs w:val="0"/>
          <w:sz w:val="24"/>
          <w:szCs w:val="24"/>
          <w:lang w:val="fr-FR"/>
        </w:rPr>
        <w:t xml:space="preserve"> </w:t>
      </w:r>
      <w:proofErr w:type="spellStart"/>
      <w:r>
        <w:rPr>
          <w:rStyle w:val="None"/>
          <w:i w:val="0"/>
          <w:iCs w:val="0"/>
          <w:sz w:val="24"/>
          <w:szCs w:val="24"/>
          <w:lang w:val="fr-FR"/>
        </w:rPr>
        <w:t>paragraph</w:t>
      </w:r>
      <w:proofErr w:type="spellEnd"/>
      <w:r>
        <w:rPr>
          <w:rStyle w:val="None"/>
          <w:i w:val="0"/>
          <w:iCs w:val="0"/>
          <w:sz w:val="24"/>
          <w:szCs w:val="24"/>
          <w:lang w:val="fr-FR"/>
        </w:rPr>
        <w:t xml:space="preserve"> 903.3: </w:t>
      </w:r>
      <w:r>
        <w:rPr>
          <w:rStyle w:val="None"/>
          <w:i w:val="0"/>
          <w:iCs w:val="0"/>
          <w:sz w:val="24"/>
          <w:szCs w:val="24"/>
        </w:rPr>
        <w:t>“Because some types of misconduct, such as sexual misconduct involving children or of a homosexual n</w:t>
      </w:r>
      <w:r>
        <w:rPr>
          <w:rStyle w:val="None"/>
          <w:i w:val="0"/>
          <w:iCs w:val="0"/>
          <w:sz w:val="24"/>
          <w:szCs w:val="24"/>
        </w:rPr>
        <w:t>ature, or repeated marital infidelity, are rarely the result of a onetime moral lapse, individuals who are guilty of sexual misconduct that involves a high probability of repeated misconduct should not be permitted to serve in any position of leadership, t</w:t>
      </w:r>
      <w:r>
        <w:rPr>
          <w:rStyle w:val="None"/>
          <w:i w:val="0"/>
          <w:iCs w:val="0"/>
          <w:sz w:val="24"/>
          <w:szCs w:val="24"/>
        </w:rPr>
        <w:t xml:space="preserve">rust, or ministry in the local church, </w:t>
      </w:r>
      <w:r>
        <w:rPr>
          <w:rStyle w:val="None"/>
          <w:i w:val="0"/>
          <w:iCs w:val="0"/>
          <w:sz w:val="24"/>
          <w:szCs w:val="24"/>
          <w:u w:val="single"/>
        </w:rPr>
        <w:t>which indicates these persons may only serve as parishioners with no duties or responsibilities in the local church.</w:t>
      </w:r>
      <w:r>
        <w:rPr>
          <w:rStyle w:val="None"/>
          <w:i w:val="0"/>
          <w:iCs w:val="0"/>
          <w:sz w:val="24"/>
          <w:szCs w:val="24"/>
        </w:rPr>
        <w:t>” (emphasis added)</w:t>
      </w:r>
      <w:r>
        <w:rPr>
          <w:rStyle w:val="None"/>
          <w:sz w:val="24"/>
          <w:szCs w:val="24"/>
        </w:rPr>
        <w:t> </w:t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rStyle w:val="None"/>
          <w:b/>
          <w:bCs/>
          <w:sz w:val="24"/>
          <w:szCs w:val="24"/>
        </w:rPr>
      </w:pPr>
      <w:r>
        <w:rPr>
          <w:sz w:val="24"/>
          <w:szCs w:val="24"/>
        </w:rPr>
        <w:t>Same Sex Marriage </w:t>
      </w:r>
    </w:p>
    <w:p w:rsidR="00475031" w:rsidRDefault="00DA4FB0">
      <w:pPr>
        <w:pStyle w:val="Default"/>
        <w:numPr>
          <w:ilvl w:val="2"/>
          <w:numId w:val="2"/>
        </w:numPr>
        <w:rPr>
          <w:sz w:val="24"/>
          <w:szCs w:val="24"/>
        </w:rPr>
      </w:pPr>
      <w:r>
        <w:rPr>
          <w:rStyle w:val="None"/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>See sample Nazarene Christian Community Policy </w:t>
      </w:r>
    </w:p>
    <w:p w:rsidR="00475031" w:rsidRDefault="00DA4FB0">
      <w:pPr>
        <w:pStyle w:val="Default"/>
        <w:numPr>
          <w:ilvl w:val="2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   Baby Dedications / Infant Baptisms</w:t>
      </w:r>
    </w:p>
    <w:p w:rsidR="00475031" w:rsidRDefault="00475031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Solemnization of Marriage, Generally</w:t>
      </w:r>
    </w:p>
    <w:p w:rsidR="00475031" w:rsidRDefault="00475031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Corporation issues for churches </w:t>
      </w:r>
    </w:p>
    <w:p w:rsidR="00475031" w:rsidRDefault="00475031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</w:p>
    <w:p w:rsidR="00475031" w:rsidRDefault="00DA4FB0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>Weapons/violence in church  </w:t>
      </w:r>
    </w:p>
    <w:p w:rsidR="00475031" w:rsidRDefault="00475031">
      <w:pPr>
        <w:pStyle w:val="Default"/>
        <w:tabs>
          <w:tab w:val="left" w:pos="220"/>
          <w:tab w:val="left" w:pos="720"/>
        </w:tabs>
        <w:ind w:left="720" w:hanging="720"/>
        <w:rPr>
          <w:sz w:val="24"/>
          <w:szCs w:val="24"/>
        </w:rPr>
      </w:pPr>
    </w:p>
    <w:p w:rsidR="00475031" w:rsidRDefault="00DA4FB0" w:rsidP="00976465">
      <w:pPr>
        <w:pStyle w:val="Default"/>
        <w:tabs>
          <w:tab w:val="left" w:pos="220"/>
          <w:tab w:val="left" w:pos="720"/>
        </w:tabs>
        <w:ind w:left="720" w:hanging="720"/>
      </w:pPr>
      <w:r>
        <w:rPr>
          <w:sz w:val="24"/>
          <w:szCs w:val="24"/>
        </w:rPr>
        <w:t>“Pastor” Title</w:t>
      </w:r>
      <w:bookmarkStart w:id="0" w:name="_GoBack"/>
      <w:bookmarkEnd w:id="0"/>
    </w:p>
    <w:sectPr w:rsidR="00475031" w:rsidSect="00976465">
      <w:headerReference w:type="default" r:id="rId10"/>
      <w:footerReference w:type="default" r:id="rId11"/>
      <w:pgSz w:w="12240" w:h="15840"/>
      <w:pgMar w:top="63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FB0" w:rsidRDefault="00DA4FB0">
      <w:r>
        <w:separator/>
      </w:r>
    </w:p>
  </w:endnote>
  <w:endnote w:type="continuationSeparator" w:id="0">
    <w:p w:rsidR="00DA4FB0" w:rsidRDefault="00DA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31" w:rsidRDefault="0047503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FB0" w:rsidRDefault="00DA4FB0">
      <w:r>
        <w:separator/>
      </w:r>
    </w:p>
  </w:footnote>
  <w:footnote w:type="continuationSeparator" w:id="0">
    <w:p w:rsidR="00DA4FB0" w:rsidRDefault="00DA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031" w:rsidRDefault="0047503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91B97"/>
    <w:multiLevelType w:val="hybridMultilevel"/>
    <w:tmpl w:val="29A27BFC"/>
    <w:numStyleLink w:val="Bullet"/>
  </w:abstractNum>
  <w:abstractNum w:abstractNumId="1" w15:restartNumberingAfterBreak="0">
    <w:nsid w:val="5EAE086E"/>
    <w:multiLevelType w:val="hybridMultilevel"/>
    <w:tmpl w:val="29A27BFC"/>
    <w:styleLink w:val="Bullet"/>
    <w:lvl w:ilvl="0" w:tplc="F6FE3AA8">
      <w:start w:val="1"/>
      <w:numFmt w:val="bullet"/>
      <w:lvlText w:val="•"/>
      <w:lvlJc w:val="left"/>
      <w:pPr>
        <w:tabs>
          <w:tab w:val="num" w:pos="196"/>
          <w:tab w:val="left" w:pos="220"/>
          <w:tab w:val="left" w:pos="556"/>
          <w:tab w:val="left" w:pos="720"/>
        </w:tabs>
        <w:ind w:left="916" w:hanging="91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46FA38">
      <w:start w:val="1"/>
      <w:numFmt w:val="bullet"/>
      <w:lvlText w:val="•"/>
      <w:lvlJc w:val="left"/>
      <w:pPr>
        <w:tabs>
          <w:tab w:val="left" w:pos="220"/>
          <w:tab w:val="num" w:pos="376"/>
          <w:tab w:val="left" w:pos="556"/>
          <w:tab w:val="left" w:pos="720"/>
        </w:tabs>
        <w:ind w:left="1096" w:hanging="916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E7310">
      <w:start w:val="1"/>
      <w:numFmt w:val="bullet"/>
      <w:lvlText w:val="•"/>
      <w:lvlJc w:val="left"/>
      <w:pPr>
        <w:tabs>
          <w:tab w:val="left" w:pos="220"/>
          <w:tab w:val="num" w:pos="556"/>
          <w:tab w:val="left" w:pos="720"/>
        </w:tabs>
        <w:ind w:left="127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DCB826">
      <w:start w:val="1"/>
      <w:numFmt w:val="bullet"/>
      <w:lvlText w:val="•"/>
      <w:lvlJc w:val="left"/>
      <w:pPr>
        <w:tabs>
          <w:tab w:val="left" w:pos="220"/>
          <w:tab w:val="left" w:pos="556"/>
          <w:tab w:val="num" w:pos="736"/>
        </w:tabs>
        <w:ind w:left="145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8AA9CE">
      <w:start w:val="1"/>
      <w:numFmt w:val="bullet"/>
      <w:lvlText w:val="•"/>
      <w:lvlJc w:val="left"/>
      <w:pPr>
        <w:tabs>
          <w:tab w:val="left" w:pos="220"/>
          <w:tab w:val="left" w:pos="556"/>
          <w:tab w:val="left" w:pos="720"/>
          <w:tab w:val="num" w:pos="916"/>
        </w:tabs>
        <w:ind w:left="163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CF03C">
      <w:start w:val="1"/>
      <w:numFmt w:val="bullet"/>
      <w:lvlText w:val="•"/>
      <w:lvlJc w:val="left"/>
      <w:pPr>
        <w:tabs>
          <w:tab w:val="left" w:pos="220"/>
          <w:tab w:val="left" w:pos="556"/>
          <w:tab w:val="left" w:pos="720"/>
          <w:tab w:val="num" w:pos="1096"/>
        </w:tabs>
        <w:ind w:left="181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5A582E">
      <w:start w:val="1"/>
      <w:numFmt w:val="bullet"/>
      <w:lvlText w:val="•"/>
      <w:lvlJc w:val="left"/>
      <w:pPr>
        <w:tabs>
          <w:tab w:val="left" w:pos="220"/>
          <w:tab w:val="left" w:pos="556"/>
          <w:tab w:val="left" w:pos="720"/>
          <w:tab w:val="num" w:pos="1276"/>
        </w:tabs>
        <w:ind w:left="199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32CE8A">
      <w:start w:val="1"/>
      <w:numFmt w:val="bullet"/>
      <w:lvlText w:val="•"/>
      <w:lvlJc w:val="left"/>
      <w:pPr>
        <w:tabs>
          <w:tab w:val="left" w:pos="220"/>
          <w:tab w:val="left" w:pos="556"/>
          <w:tab w:val="left" w:pos="720"/>
          <w:tab w:val="num" w:pos="1456"/>
        </w:tabs>
        <w:ind w:left="217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9A2D26">
      <w:start w:val="1"/>
      <w:numFmt w:val="bullet"/>
      <w:lvlText w:val="•"/>
      <w:lvlJc w:val="left"/>
      <w:pPr>
        <w:tabs>
          <w:tab w:val="left" w:pos="220"/>
          <w:tab w:val="left" w:pos="556"/>
          <w:tab w:val="left" w:pos="720"/>
          <w:tab w:val="num" w:pos="1636"/>
        </w:tabs>
        <w:ind w:left="2356" w:hanging="916"/>
      </w:pPr>
      <w:rPr>
        <w:rFonts w:ascii="Times" w:eastAsia="Times" w:hAnsi="Times" w:cs="Times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31"/>
    <w:rsid w:val="00475031"/>
    <w:rsid w:val="00976465"/>
    <w:rsid w:val="00DA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4A6785-2616-46E5-B590-FFD8495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efault">
    <w:name w:val="Default"/>
    <w:rPr>
      <w:rFonts w:ascii="Times" w:hAnsi="Times" w:cs="Arial Unicode MS"/>
      <w:i/>
      <w:iCs/>
      <w:color w:val="000000"/>
      <w:sz w:val="28"/>
      <w:szCs w:val="28"/>
      <w:u w:color="000000"/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color w:val="0432FF"/>
      <w:u w:val="single" w:color="0432FF"/>
      <w:lang w:val="en-US"/>
    </w:rPr>
  </w:style>
  <w:style w:type="character" w:customStyle="1" w:styleId="Hyperlink2">
    <w:name w:val="Hyperlink.2"/>
    <w:basedOn w:val="None"/>
    <w:rPr>
      <w:rFonts w:ascii="Times" w:eastAsia="Times" w:hAnsi="Times" w:cs="Times"/>
      <w:color w:val="0432FF"/>
      <w:u w:val="single" w:color="0432FF"/>
      <w:lang w:val="en-US"/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zarenesafe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thompson@nazaren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inistrysafe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 Farthing</cp:lastModifiedBy>
  <cp:revision>3</cp:revision>
  <dcterms:created xsi:type="dcterms:W3CDTF">2016-02-12T21:12:00Z</dcterms:created>
  <dcterms:modified xsi:type="dcterms:W3CDTF">2016-02-12T21:13:00Z</dcterms:modified>
</cp:coreProperties>
</file>